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vz2mgnnil8hj"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b7aphkqun3pi"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p w:rsidR="00000000" w:rsidDel="00000000" w:rsidP="00000000" w:rsidRDefault="00000000" w:rsidRPr="00000000" w14:paraId="00000008">
            <w:pPr>
              <w:spacing w:after="120" w:lineRule="auto"/>
              <w:ind w:left="-108" w:firstLine="108"/>
              <w:jc w:val="left"/>
              <w:rPr>
                <w:sz w:val="24"/>
                <w:szCs w:val="24"/>
              </w:rPr>
            </w:pPr>
            <w:r w:rsidDel="00000000" w:rsidR="00000000" w:rsidRPr="00000000">
              <w:rPr>
                <w:sz w:val="24"/>
                <w:szCs w:val="24"/>
                <w:rtl w:val="0"/>
              </w:rPr>
              <w:t xml:space="preserve">"Breach of Security"</w:t>
            </w:r>
          </w:p>
        </w:tc>
        <w:tc>
          <w:tcPr/>
          <w:p w:rsidR="00000000" w:rsidDel="00000000" w:rsidP="00000000" w:rsidRDefault="00000000" w:rsidRPr="00000000" w14:paraId="00000009">
            <w:pPr>
              <w:numPr>
                <w:ilvl w:val="0"/>
                <w:numId w:val="4"/>
              </w:numPr>
              <w:tabs>
                <w:tab w:val="left" w:leader="none" w:pos="-9"/>
              </w:tabs>
              <w:spacing w:after="120" w:lineRule="auto"/>
              <w:ind w:left="170" w:hanging="170"/>
              <w:jc w:val="left"/>
              <w:rPr/>
            </w:pPr>
            <w:r w:rsidDel="00000000" w:rsidR="00000000" w:rsidRPr="00000000">
              <w:rPr>
                <w:sz w:val="24"/>
                <w:szCs w:val="24"/>
                <w:rtl w:val="0"/>
              </w:rPr>
              <w:t xml:space="preserve">the occurrence of:</w:t>
            </w:r>
          </w:p>
          <w:p w:rsidR="00000000" w:rsidDel="00000000" w:rsidP="00000000" w:rsidRDefault="00000000" w:rsidRPr="00000000" w14:paraId="0000000A">
            <w:pPr>
              <w:numPr>
                <w:ilvl w:val="1"/>
                <w:numId w:val="4"/>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4"/>
              </w:numPr>
              <w:tabs>
                <w:tab w:val="left" w:leader="none" w:pos="-9"/>
              </w:tabs>
              <w:spacing w:after="120" w:lineRule="auto"/>
              <w:ind w:left="170" w:hanging="170"/>
              <w:jc w:val="left"/>
              <w:rPr/>
            </w:pPr>
            <w:r w:rsidDel="00000000" w:rsidR="00000000" w:rsidRPr="00000000">
              <w:rPr>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p w:rsidR="00000000" w:rsidDel="00000000" w:rsidP="00000000" w:rsidRDefault="00000000" w:rsidRPr="00000000" w14:paraId="0000000D">
            <w:pPr>
              <w:spacing w:after="120" w:lineRule="auto"/>
              <w:ind w:left="-108" w:firstLine="108"/>
              <w:jc w:val="left"/>
              <w:rPr>
                <w:sz w:val="24"/>
                <w:szCs w:val="24"/>
              </w:rPr>
            </w:pPr>
            <w:r w:rsidDel="00000000" w:rsidR="00000000" w:rsidRPr="00000000">
              <w:rPr>
                <w:sz w:val="24"/>
                <w:szCs w:val="24"/>
                <w:rtl w:val="0"/>
              </w:rPr>
              <w:t xml:space="preserve">"Security Management Plan" </w:t>
            </w:r>
          </w:p>
          <w:p w:rsidR="00000000" w:rsidDel="00000000" w:rsidP="00000000" w:rsidRDefault="00000000" w:rsidRPr="00000000" w14:paraId="0000000E">
            <w:pPr>
              <w:ind w:firstLine="1418"/>
              <w:rPr>
                <w:sz w:val="24"/>
                <w:szCs w:val="24"/>
              </w:rPr>
            </w:pPr>
            <w:r w:rsidDel="00000000" w:rsidR="00000000" w:rsidRPr="00000000">
              <w:rPr>
                <w:rtl w:val="0"/>
              </w:rPr>
            </w:r>
          </w:p>
        </w:tc>
        <w:tc>
          <w:tcPr/>
          <w:p w:rsidR="00000000" w:rsidDel="00000000" w:rsidP="00000000" w:rsidRDefault="00000000" w:rsidRPr="00000000" w14:paraId="0000000F">
            <w:pPr>
              <w:numPr>
                <w:ilvl w:val="0"/>
                <w:numId w:val="4"/>
              </w:numPr>
              <w:tabs>
                <w:tab w:val="left" w:leader="none" w:pos="-179"/>
              </w:tabs>
              <w:spacing w:after="120" w:lineRule="auto"/>
              <w:ind w:left="170" w:hanging="170"/>
              <w:jc w:val="left"/>
              <w:rPr/>
            </w:pPr>
            <w:r w:rsidDel="00000000" w:rsidR="00000000" w:rsidRPr="00000000">
              <w:rPr>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10">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8">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em1tcfg4u44"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20">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ynwoyw9v21iw"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qvji19wuf41"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2">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tsn8n0e0jgtf"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3">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dksyvo8fmve"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fqjqy12qrhk"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A">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zajd54yoa0ko"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B">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8whtl9lmwdgv"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8pv1649gh03q"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qccwhe91adwh"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tajimrz0tnl"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30">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mefssmw4intp"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1">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vyzqiwjeoge"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6">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1t8atdgyj26f"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A">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vffl33l5b2d4"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424hp17rhfr3"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D">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breach</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o9chkr9k1bh"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gl5k1jgksaik"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hw346hxoj09k"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6">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7">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w:cs="Arial" w:eastAsia="Arial" w:hAnsi="Arial"/>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w:cs="Arial" w:eastAsia="Arial" w:hAnsi="Arial"/>
          <w:b w:val="1"/>
          <w:color w:val="000000"/>
          <w:sz w:val="36"/>
          <w:szCs w:val="36"/>
          <w:rtl w:val="0"/>
        </w:rPr>
        <w:t xml:space="preserve"> Form Security Requirements</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C">
            <w:pPr>
              <w:spacing w:after="120" w:lineRule="auto"/>
              <w:ind w:left="-108" w:firstLine="108"/>
              <w:jc w:val="left"/>
              <w:rPr>
                <w:sz w:val="24"/>
                <w:szCs w:val="24"/>
              </w:rPr>
            </w:pPr>
            <w:r w:rsidDel="00000000" w:rsidR="00000000" w:rsidRPr="00000000">
              <w:rPr>
                <w:sz w:val="24"/>
                <w:szCs w:val="24"/>
                <w:rtl w:val="0"/>
              </w:rPr>
              <w:t xml:space="preserve">"Breach of Security"</w:t>
            </w:r>
          </w:p>
        </w:tc>
        <w:tc>
          <w:tcPr/>
          <w:p w:rsidR="00000000" w:rsidDel="00000000" w:rsidP="00000000" w:rsidRDefault="00000000" w:rsidRPr="00000000" w14:paraId="0000004D">
            <w:pPr>
              <w:numPr>
                <w:ilvl w:val="0"/>
                <w:numId w:val="4"/>
              </w:numPr>
              <w:tabs>
                <w:tab w:val="left" w:leader="none" w:pos="-9"/>
              </w:tabs>
              <w:spacing w:after="120" w:lineRule="auto"/>
              <w:ind w:left="170" w:hanging="170"/>
              <w:jc w:val="left"/>
              <w:rPr/>
            </w:pPr>
            <w:r w:rsidDel="00000000" w:rsidR="00000000" w:rsidRPr="00000000">
              <w:rPr>
                <w:sz w:val="24"/>
                <w:szCs w:val="24"/>
                <w:rtl w:val="0"/>
              </w:rPr>
              <w:t xml:space="preserve">means the occurrence of:</w:t>
            </w:r>
          </w:p>
          <w:p w:rsidR="00000000" w:rsidDel="00000000" w:rsidP="00000000" w:rsidRDefault="00000000" w:rsidRPr="00000000" w14:paraId="0000004E">
            <w:pPr>
              <w:numPr>
                <w:ilvl w:val="1"/>
                <w:numId w:val="4"/>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F">
            <w:pPr>
              <w:numPr>
                <w:ilvl w:val="1"/>
                <w:numId w:val="4"/>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50">
            <w:pPr>
              <w:numPr>
                <w:ilvl w:val="0"/>
                <w:numId w:val="4"/>
              </w:numPr>
              <w:tabs>
                <w:tab w:val="left" w:leader="none" w:pos="-9"/>
              </w:tabs>
              <w:spacing w:after="120" w:lineRule="auto"/>
              <w:ind w:left="170" w:hanging="170"/>
              <w:jc w:val="left"/>
              <w:rPr/>
            </w:pPr>
            <w:r w:rsidDel="00000000" w:rsidR="00000000" w:rsidRPr="00000000">
              <w:rPr>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1">
            <w:pPr>
              <w:spacing w:after="120" w:lineRule="auto"/>
              <w:ind w:left="-108" w:firstLine="108"/>
              <w:jc w:val="left"/>
              <w:rPr>
                <w:sz w:val="24"/>
                <w:szCs w:val="24"/>
              </w:rPr>
            </w:pPr>
            <w:r w:rsidDel="00000000" w:rsidR="00000000" w:rsidRPr="00000000">
              <w:rPr>
                <w:sz w:val="24"/>
                <w:szCs w:val="24"/>
                <w:rtl w:val="0"/>
              </w:rPr>
              <w:t xml:space="preserve">"ISMS"</w:t>
            </w:r>
          </w:p>
        </w:tc>
        <w:tc>
          <w:tcPr/>
          <w:p w:rsidR="00000000" w:rsidDel="00000000" w:rsidP="00000000" w:rsidRDefault="00000000" w:rsidRPr="00000000" w14:paraId="00000052">
            <w:pPr>
              <w:numPr>
                <w:ilvl w:val="0"/>
                <w:numId w:val="4"/>
              </w:numPr>
              <w:tabs>
                <w:tab w:val="left" w:leader="none" w:pos="-9"/>
              </w:tabs>
              <w:spacing w:after="120" w:lineRule="auto"/>
              <w:ind w:left="170" w:hanging="170"/>
              <w:jc w:val="left"/>
              <w:rPr/>
            </w:pPr>
            <w:r w:rsidDel="00000000" w:rsidR="00000000" w:rsidRPr="00000000">
              <w:rPr>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3">
            <w:pPr>
              <w:spacing w:after="120" w:lineRule="auto"/>
              <w:ind w:left="-108" w:firstLine="108"/>
              <w:jc w:val="left"/>
              <w:rPr>
                <w:sz w:val="24"/>
                <w:szCs w:val="24"/>
              </w:rPr>
            </w:pPr>
            <w:r w:rsidDel="00000000" w:rsidR="00000000" w:rsidRPr="00000000">
              <w:rPr>
                <w:sz w:val="24"/>
                <w:szCs w:val="24"/>
                <w:rtl w:val="0"/>
              </w:rPr>
              <w:t xml:space="preserve">"Security Tests"</w:t>
            </w:r>
          </w:p>
        </w:tc>
        <w:tc>
          <w:tcPr/>
          <w:p w:rsidR="00000000" w:rsidDel="00000000" w:rsidP="00000000" w:rsidRDefault="00000000" w:rsidRPr="00000000" w14:paraId="00000054">
            <w:pPr>
              <w:numPr>
                <w:ilvl w:val="0"/>
                <w:numId w:val="4"/>
              </w:numPr>
              <w:tabs>
                <w:tab w:val="left" w:leader="none" w:pos="-9"/>
              </w:tabs>
              <w:spacing w:after="120" w:lineRule="auto"/>
              <w:ind w:left="170" w:hanging="170"/>
              <w:jc w:val="left"/>
              <w:rPr/>
            </w:pPr>
            <w:r w:rsidDel="00000000" w:rsidR="00000000" w:rsidRPr="00000000">
              <w:rPr>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c0jhvcihnpnm" w:id="21"/>
      <w:bookmarkEnd w:id="21"/>
      <w:r w:rsidDel="00000000" w:rsidR="00000000" w:rsidRPr="00000000">
        <w:rPr>
          <w:rFonts w:ascii="Arial" w:cs="Arial" w:eastAsia="Arial" w:hAnsi="Arial"/>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y71bhxh1eykk"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3lajx9himn9g"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6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6ny5igvgzz16" w:id="24"/>
      <w:bookmarkEnd w:id="24"/>
      <w:r w:rsidDel="00000000" w:rsidR="00000000" w:rsidRPr="00000000">
        <w:rPr>
          <w:b w:val="1"/>
          <w:smallCaps w:val="1"/>
          <w:color w:val="000000"/>
          <w:sz w:val="24"/>
          <w:szCs w:val="24"/>
          <w:rtl w:val="0"/>
        </w:rPr>
        <w:t xml:space="preserve">I</w:t>
      </w:r>
      <w:r w:rsidDel="00000000" w:rsidR="00000000" w:rsidRPr="00000000">
        <w:rPr>
          <w:rFonts w:ascii="Arial" w:cs="Arial" w:eastAsia="Arial" w:hAnsi="Arial"/>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jq2j4a5utpv3"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lao4b7lebfu2"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6">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takes account of guidance issued by the Centre for Protection of National Infrastructure (</w:t>
      </w:r>
      <w:hyperlink r:id="rId7">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HMG Information Assurance Maturity Model and Assurance Framework (</w:t>
      </w:r>
      <w:hyperlink r:id="rId8">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bookmarkStart w:colFirst="0" w:colLast="0" w:name="_ys9k5zg4ci6g"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p1hh71t448a4"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hmf4gza27q0s"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Management Plan</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qlz7cqr13xg"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g190i5y6bu9s"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as5m5uj8xw36"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B">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Amendment of the ISMS and Security Management Plan</w:t>
      </w:r>
    </w:p>
    <w:p w:rsidR="00000000" w:rsidDel="00000000" w:rsidP="00000000" w:rsidRDefault="00000000" w:rsidRPr="00000000" w14:paraId="0000008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b4al5zb7he23"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f9pv0wvcrf8t"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9w4perkn15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xg1j12dz4emg"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Testing</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6m22mrwb0cp2"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gsm09fetwxt"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twpa65w7wa8"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8zcexhv95354"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A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Complying with the ISMS </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f37gn4adaaje"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ipkx33hc7b68"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Vulnerabilities and fixing them</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sz w:val="24"/>
          <w:szCs w:val="24"/>
        </w:rPr>
      </w:pPr>
      <w:bookmarkStart w:colFirst="0" w:colLast="0" w:name="_afuvqr6dv7ku"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bookmarkStart w:colFirst="0" w:colLast="0" w:name="_ebf6vgom75j" w:id="45"/>
      <w:bookmarkEnd w:id="45"/>
      <w:r w:rsidDel="00000000" w:rsidR="00000000" w:rsidRPr="00000000">
        <w:br w:type="page"/>
      </w:r>
      <w:r w:rsidDel="00000000" w:rsidR="00000000" w:rsidRPr="00000000">
        <w:rPr>
          <w:rFonts w:ascii="Arial" w:cs="Arial" w:eastAsia="Arial" w:hAnsi="Arial"/>
          <w:b w:val="1"/>
          <w:color w:val="000000"/>
          <w:sz w:val="36"/>
          <w:szCs w:val="36"/>
          <w:rtl w:val="0"/>
        </w:rPr>
        <w:t xml:space="preserve">Part B – A</w:t>
      </w:r>
      <w:bookmarkStart w:colFirst="0" w:colLast="0" w:name="56esfuaghr9c" w:id="44"/>
      <w:bookmarkEnd w:id="44"/>
      <w:r w:rsidDel="00000000" w:rsidR="00000000" w:rsidRPr="00000000">
        <w:rPr>
          <w:rFonts w:ascii="Arial" w:cs="Arial" w:eastAsia="Arial" w:hAnsi="Arial"/>
          <w:b w:val="1"/>
          <w:color w:val="000000"/>
          <w:sz w:val="36"/>
          <w:szCs w:val="36"/>
          <w:rtl w:val="0"/>
        </w:rPr>
        <w:t xml:space="preserve">nnex 1: </w:t>
      </w:r>
    </w:p>
    <w:p w:rsidR="00000000" w:rsidDel="00000000" w:rsidP="00000000" w:rsidRDefault="00000000" w:rsidRPr="00000000" w14:paraId="000000C7">
      <w:pPr>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Baseline security requirements</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9">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Processing, Storage, Management and Destruction</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D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of the Core Terms (Data protection).</w:t>
      </w:r>
    </w:p>
    <w:p w:rsidR="00000000" w:rsidDel="00000000" w:rsidP="00000000" w:rsidRDefault="00000000" w:rsidRPr="00000000" w14:paraId="000000D1">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0">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C">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of Supplier Staff </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bookmarkStart w:colFirst="0" w:colLast="0" w:name="_7yf22whzdg9y" w:id="46"/>
      <w:bookmarkEnd w:id="46"/>
      <w:r w:rsidDel="00000000" w:rsidR="00000000" w:rsidRPr="00000000">
        <w:rPr>
          <w:rFonts w:ascii="Arial" w:cs="Arial" w:eastAsia="Arial" w:hAnsi="Arial"/>
          <w:b w:val="1"/>
          <w:color w:val="000000"/>
          <w:sz w:val="24"/>
          <w:szCs w:val="24"/>
          <w:rtl w:val="0"/>
        </w:rPr>
        <w:t xml:space="preserve">Audit </w:t>
      </w:r>
    </w:p>
    <w:p w:rsidR="00000000" w:rsidDel="00000000" w:rsidP="00000000" w:rsidRDefault="00000000" w:rsidRPr="00000000" w14:paraId="000000E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A">
      <w:pPr>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B – Annex 2 - Security Management Plan</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9h60sv32snj5" w:id="47"/>
  <w:bookmarkEnd w:id="47"/>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color w:val="000000"/>
        <w:sz w:val="20"/>
        <w:szCs w:val="20"/>
        <w:rtl w:val="0"/>
      </w:rPr>
      <w:tab/>
      <w:t xml:space="preserve">Framework Ref: RM6289 Provision of Power Purchase Agreement </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000000"/>
        <w:sz w:val="20"/>
        <w:szCs w:val="20"/>
      </w:rPr>
    </w:pPr>
    <w:r w:rsidDel="00000000" w:rsidR="00000000" w:rsidRPr="00000000">
      <w:rPr>
        <w:color w:val="000000"/>
        <w:sz w:val="20"/>
        <w:szCs w:val="20"/>
        <w:rtl w:val="0"/>
      </w:rPr>
      <w:tab/>
      <w:t xml:space="preserve">Project Version: </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jc w:val="left"/>
      <w:rPr>
        <w:color w:val="a6a6a6"/>
        <w:sz w:val="20"/>
        <w:szCs w:val="20"/>
      </w:rPr>
    </w:pPr>
    <w:bookmarkStart w:colFirst="0" w:colLast="0" w:name="_47dfbrxupvsx" w:id="48"/>
    <w:bookmarkEnd w:id="48"/>
    <w:r w:rsidDel="00000000" w:rsidR="00000000" w:rsidRPr="00000000">
      <w:rPr>
        <w:color w:val="000000"/>
        <w:sz w:val="20"/>
        <w:szCs w:val="20"/>
        <w:rtl w:val="0"/>
      </w:rPr>
      <w:tab/>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3">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2024</w:t>
    </w:r>
  </w:p>
  <w:p w:rsidR="00000000" w:rsidDel="00000000" w:rsidP="00000000" w:rsidRDefault="00000000" w:rsidRPr="00000000" w14:paraId="000000F4">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ncsc.gov.uk/section/products-services/ncsc-certification" TargetMode="External"/><Relationship Id="rId13" Type="http://schemas.openxmlformats.org/officeDocument/2006/relationships/header" Target="head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guidance/end-user-device-security" TargetMode="External"/><Relationship Id="rId15" Type="http://schemas.openxmlformats.org/officeDocument/2006/relationships/footer" Target="footer3.xml"/><Relationship Id="rId14"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security-policy-framework/hmg-security-policy-framework" TargetMode="External"/><Relationship Id="rId7" Type="http://schemas.openxmlformats.org/officeDocument/2006/relationships/hyperlink" Target="https://www.cpni.gov.uk" TargetMode="External"/><Relationship Id="rId8" Type="http://schemas.openxmlformats.org/officeDocument/2006/relationships/hyperlink" Target="https://www.ncsc.gov.uk/articles/hmg-ia-maturity-model-ia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iManageFooter">
    <vt:lpwstr>#109517314v2&lt;L_LIVE_EMEA1&gt; - PPA v3.0 (Call-Off Schedule 09 - Security v3.4)</vt:lpwstr>
  </property>
</Properties>
</file>